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5"/>
        <w:ind w:left="0" w:firstLine="708"/>
        <w:jc w:val="both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</w:t>
      </w:r>
      <w:r>
        <w:rPr>
          <w:sz w:val="18"/>
          <w:szCs w:val="18"/>
        </w:rPr>
      </w:r>
      <w:r/>
    </w:p>
    <w:p>
      <w:pPr>
        <w:pStyle w:val="925"/>
        <w:ind w:left="0" w:firstLine="708"/>
        <w:jc w:val="left"/>
        <w:spacing w:after="0" w:line="240" w:lineRule="auto"/>
      </w:pPr>
      <w:r>
        <w:rPr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</w:rPr>
        <w:t xml:space="preserve">  </w:t>
      </w:r>
      <w:r>
        <w:t xml:space="preserve">ПОЯСНИТЕЛЬНАЯ ЗАПИСКА</w:t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в июне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года.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2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 года №</w:t>
      </w:r>
      <w:r>
        <w:rPr>
          <w:sz w:val="28"/>
          <w:szCs w:val="28"/>
        </w:rPr>
        <w:t xml:space="preserve"> 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по собственным доходам и безвозмездным поступлениям в соответствии с решением вышестоящего уровня государственной власти в части безвозмездных поступлений в бюджет Колыванского района НСО, в том числе: 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В части собственных доходов  на сумму </w:t>
      </w:r>
      <w:r>
        <w:rPr>
          <w:sz w:val="28"/>
          <w:szCs w:val="28"/>
        </w:rPr>
        <w:t xml:space="preserve">3038,0</w:t>
      </w:r>
      <w:r>
        <w:rPr>
          <w:sz w:val="28"/>
          <w:szCs w:val="28"/>
        </w:rPr>
        <w:t xml:space="preserve"> тысяч рублей ,   в том числе целевые поступления в бюджет Колыванского района по платежам за природные ресурсы  на сумму 2900,0 тысяч рублей  и увеличение платных услуг на сумму 138,0 тысяч рублей .</w:t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Увеличение по безвозмездным поступлениям: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-субвенции на организацию мероприятий при осуществлении деятельности по обращению с животными без владельцев  на сумму </w:t>
      </w:r>
      <w:r>
        <w:rPr>
          <w:sz w:val="28"/>
          <w:szCs w:val="28"/>
          <w:highlight w:val="none"/>
        </w:rPr>
        <w:t xml:space="preserve">494,9</w:t>
      </w:r>
      <w:r>
        <w:rPr>
          <w:sz w:val="28"/>
          <w:szCs w:val="28"/>
          <w:highlight w:val="none"/>
        </w:rPr>
        <w:t xml:space="preserve"> тысяч рублей;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-и</w:t>
      </w:r>
      <w:r>
        <w:rPr>
          <w:sz w:val="28"/>
          <w:szCs w:val="28"/>
          <w:highlight w:val="none"/>
        </w:rPr>
        <w:t xml:space="preserve">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</w:t>
      </w:r>
      <w:r>
        <w:rPr>
          <w:sz w:val="28"/>
          <w:szCs w:val="28"/>
          <w:highlight w:val="none"/>
        </w:rPr>
        <w:t xml:space="preserve">оциализации детей и учащейся молодежи в Новосибирской области"  на сумму </w:t>
      </w:r>
      <w:r>
        <w:rPr>
          <w:sz w:val="28"/>
          <w:szCs w:val="28"/>
          <w:highlight w:val="none"/>
        </w:rPr>
        <w:t xml:space="preserve">706,3 тысяч рублей.</w:t>
      </w:r>
      <w:r>
        <w:rPr>
          <w:sz w:val="28"/>
          <w:szCs w:val="28"/>
          <w:highlight w:val="none"/>
        </w:rPr>
        <w:t xml:space="preserve"> </w:t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В связи с внесением изменений в доходную часть бюджета Колыванского района по собственным доходам предоставляем информацию по исполнению бюджета Колыванского района Новосибирской области по состоянию на 1 июня 2024 года. 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Всего  собственных доходов  план 330410,2  тысяч рублей  факт 126 457,43 тысяч рублей - 38%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В том числе  в структуре: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Налоговые доходы :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План 320 762,50 тысяч рублей , факт 1133136, 59  тысяч рублей - 35%, в том числе: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НДФЛ  план 248 517,50 тысяч рублей , факт 66942,21 тысяч рублей - 27 %;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Акцизы  план 6367,40 тысяч рублей, факт 2670,54 тысяч рублей - 42 %;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УСН план 43326,0 тысяч рублей, факт 34244,85 тысяч рублей -79%;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Патент план 3130,0 тысяч рублей, факт 4609,49 тысяч рублей - 147%;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Транспортный налог план 13711,40 тысяч рублей ,факт 2902,82 тысячи рублей -21 %;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Госпошлина  план 5373,20 тысяч рублей, факт 1953,10 тысяч рублей -36%;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Неналоговые доходы: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План 9647,70 тысяч рублей, факт 13320,84 тысячи рублей- 138%.</w:t>
      </w:r>
      <w:r>
        <w:rPr>
          <w:sz w:val="28"/>
          <w:szCs w:val="28"/>
          <w:highlight w:val="none"/>
        </w:rPr>
      </w:r>
      <w:r/>
    </w:p>
    <w:p>
      <w:pPr>
        <w:pStyle w:val="916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средств, выд</w:t>
      </w:r>
      <w:r>
        <w:rPr>
          <w:sz w:val="28"/>
          <w:szCs w:val="28"/>
        </w:rPr>
        <w:t xml:space="preserve">еленных из  областного бюджета, а также выделенные дополнительные лимиты бюджетных обязательств за счет средств районного бюджета на сумму 3038 тысяч рублей, источником которых является собственные доходы,  а именно: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-Образование на сумму 4010,1 тысяч рублей ( Указы Президента,  выплаты за  классное руководство, приобретение муниципальной собственности)</w:t>
      </w:r>
      <w:r>
        <w:rPr>
          <w:sz w:val="28"/>
          <w:szCs w:val="28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Спорт на сумму 932 тысяч рублей ( Указы Президента, спортивные мероприятия,  хоз. товары, ).</w:t>
      </w:r>
      <w:r>
        <w:rPr>
          <w:sz w:val="28"/>
          <w:szCs w:val="28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Культура на сумму 4900,7 </w:t>
      </w:r>
      <w:r>
        <w:rPr>
          <w:sz w:val="28"/>
          <w:szCs w:val="28"/>
          <w:highlight w:val="none"/>
        </w:rPr>
        <w:t xml:space="preserve">тысяч рублей ( Указы Президента).</w:t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Управление на сумму 4391,0 тысяч рублей (штраф, выплата по депутатской деятельности, оснащение матросов- спасателей, увеличение МП по охране , организация минерализованных полос) </w:t>
      </w:r>
      <w: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Также согласно  заявкам и ходатайствам руководителей структурных подразделений и муниципальных учреждений</w:t>
      </w:r>
      <w:r>
        <w:rPr>
          <w:sz w:val="28"/>
          <w:szCs w:val="28"/>
        </w:rPr>
        <w:t xml:space="preserve"> учтены внутренние перераспределения средств путем уточнения кодов бюджетной классификации.</w:t>
      </w:r>
      <w:r>
        <w:rPr>
          <w:sz w:val="28"/>
          <w:szCs w:val="28"/>
          <w:highlight w:val="none"/>
        </w:rPr>
      </w:r>
      <w:r/>
    </w:p>
    <w:p>
      <w:pPr>
        <w:pStyle w:val="916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 xml:space="preserve">2 006 439,70 тысяч рублей  ,  в плановом периоде  без изменений.</w:t>
      </w:r>
      <w:r>
        <w:rPr>
          <w:sz w:val="24"/>
          <w:szCs w:val="24"/>
        </w:rPr>
      </w:r>
      <w:r/>
    </w:p>
    <w:p>
      <w:pPr>
        <w:pStyle w:val="91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</w:t>
      </w:r>
      <w:r>
        <w:rPr>
          <w:sz w:val="28"/>
          <w:szCs w:val="28"/>
        </w:rPr>
        <w:t xml:space="preserve"> 2044886,3 тысяч рублей </w:t>
      </w:r>
      <w:r>
        <w:rPr>
          <w:bCs/>
          <w:sz w:val="28"/>
          <w:szCs w:val="28"/>
        </w:rPr>
        <w:t xml:space="preserve">,  в плановом периоде без изменений.</w:t>
      </w:r>
      <w:r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Дефицит бюджета Колыванского района  с учетом всех изменений</w:t>
      </w:r>
      <w:r>
        <w:rPr>
          <w:bCs/>
          <w:sz w:val="28"/>
          <w:szCs w:val="28"/>
        </w:rPr>
        <w:t xml:space="preserve"> на 2024 год </w:t>
      </w:r>
      <w:r>
        <w:rPr>
          <w:bCs/>
          <w:sz w:val="28"/>
          <w:szCs w:val="28"/>
        </w:rPr>
        <w:t xml:space="preserve"> будет находится в пределах </w:t>
      </w:r>
      <w:r>
        <w:rPr>
          <w:bCs/>
          <w:sz w:val="28"/>
          <w:szCs w:val="28"/>
        </w:rPr>
        <w:t xml:space="preserve"> 38446,60 тысяч рублей и является допустимым, согласно требованиям бюджетного законодательства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на  2025 -2026 год дефицит отсутствует.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</w:r>
      <w:r/>
    </w:p>
    <w:p>
      <w:pPr>
        <w:pStyle w:val="9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Просроченная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jc w:val="left"/>
        <w:tabs>
          <w:tab w:val="clear" w:pos="4536" w:leader="none"/>
          <w:tab w:val="clear" w:pos="9072" w:leader="none"/>
          <w:tab w:val="left" w:pos="1310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tab/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Style w:val="772"/>
        <w:tblW w:w="0" w:type="auto"/>
        <w:tblLayout w:type="fixed"/>
        <w:tblLook w:val="04A0" w:firstRow="1" w:lastRow="0" w:firstColumn="1" w:lastColumn="0" w:noHBand="0" w:noVBand="1"/>
      </w:tblPr>
      <w:tblGrid>
        <w:gridCol w:w="2070"/>
        <w:gridCol w:w="4365"/>
        <w:gridCol w:w="2785"/>
        <w:gridCol w:w="2409"/>
        <w:gridCol w:w="2976"/>
      </w:tblGrid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Код вида дохода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Наименование групп, подгрупп,  статей доходов, подстатей, элементов, кодов подвидов 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2025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2026 год</w:t>
            </w:r>
            <w:r/>
          </w:p>
        </w:tc>
      </w:tr>
      <w:tr>
        <w:trPr>
          <w:trHeight w:val="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Налоговые доходы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320 762,50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280 743,90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297 184,70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прибыль,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248 517,50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203 519,80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215 557,00</w:t>
            </w:r>
            <w:r/>
          </w:p>
        </w:tc>
      </w:tr>
      <w:tr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248 517,50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203 519,80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215 557,00</w:t>
            </w:r>
            <w:r/>
          </w:p>
        </w:tc>
      </w:tr>
      <w:tr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00010102010010000110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источником которых является налоговый а</w:t>
            </w:r>
            <w:r>
              <w:t xml:space="preserve">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245 369,50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200 769,80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212 762,00</w:t>
            </w:r>
            <w:r/>
          </w:p>
        </w:tc>
      </w:tr>
      <w:tr>
        <w:trPr>
          <w:trHeight w:val="2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00010102020011000110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  <w:r>
              <w:t xml:space="preserve">, учредивших адвокатские кабинеты, и других лиц, занимающихся частной практикой в соответствии со ст. 227 Налогового кодекса Российской Федерации (сумма платежа (перерасчеты, недоимки и задолженности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737,00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649,00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689,00</w:t>
            </w:r>
            <w:r/>
          </w:p>
        </w:tc>
      </w:tr>
      <w:tr>
        <w:trPr>
          <w:trHeight w:val="2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00010102020013000110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</w:t>
            </w:r>
            <w:r>
              <w:t xml:space="preserve"> учредивших адвокатские кабинеты, и других лиц, занимающихся частной практикой в соответствии со ст.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1,00</w:t>
            </w:r>
            <w:r/>
          </w:p>
        </w:tc>
      </w:tr>
      <w:tr>
        <w:trPr>
          <w:trHeight w:val="13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00010102030011000110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2 300,00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</w:tr>
      <w:tr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00010102030013000110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</w:tr>
      <w:tr>
        <w:trPr>
          <w:trHeight w:val="19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00010102040011000110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в виде фиксированных авансовых платежей с доходов, полученных физическими лицами  являющимися иностранными гражд</w:t>
            </w:r>
            <w:r>
              <w:t xml:space="preserve">анами осуществляющими трудовую деятельность по найму на основании патента в соответствии со статьёй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95,00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00010300000000000000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6 367,40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7 474,00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7 532,30</w:t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00010302000010000110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6 367,40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7 474,00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7 532,30</w:t>
            </w:r>
            <w:r/>
          </w:p>
        </w:tc>
      </w:tr>
      <w:tr>
        <w:trPr>
          <w:trHeight w:val="20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00010302231010000110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дизельное топливо, подлежащие распределению между бюджетами 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3 107,00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3 714,80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3 743,70</w:t>
            </w:r>
            <w:r/>
          </w:p>
        </w:tc>
      </w:tr>
      <w:tr>
        <w:trPr>
          <w:trHeight w:val="22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00010302241010000110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23,20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23,40</w:t>
            </w:r>
            <w:r/>
          </w:p>
        </w:tc>
      </w:tr>
      <w:tr>
        <w:trPr>
          <w:trHeight w:val="20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00010302251010000110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3 611,10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4 164,40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4 196,90</w:t>
            </w:r>
            <w:r/>
          </w:p>
        </w:tc>
      </w:tr>
      <w:tr>
        <w:trPr>
          <w:trHeight w:val="20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00010302261010000110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-371,00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-428,40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-431,70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совокупный доход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46 793,00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50 663,00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55 006,00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43 326,00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47 095,00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51 334,00</w:t>
            </w:r>
            <w:r/>
          </w:p>
        </w:tc>
      </w:tr>
      <w:tr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00010501011011000110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25 764,50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26 531,50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28 813,00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00010501011013000110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11,50</w:t>
            </w:r>
            <w:r/>
          </w:p>
        </w:tc>
      </w:tr>
      <w:tr>
        <w:trPr>
          <w:trHeight w:val="15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00010501021011000110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</w:t>
            </w:r>
            <w: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17 551,60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20 552,90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22 509,50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00010503000000000110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337,00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347,00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358,00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00010503010011000110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337,00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347,00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358,00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00010504000000000110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3 130,00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3 221,00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3 314,00</w:t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00010504020021000110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3 130,00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3 221,00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3 314,00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имущество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00010604000020000110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00010604011020000110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2 087,10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2 087,10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2 087,10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00010604012020000110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11 624,30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11 624,30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11 624,30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00010800000000000000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5 373,20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5 375,70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5 378,00</w:t>
            </w:r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00010803010010000110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5 373,20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5 375,70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5 378,00</w:t>
            </w:r>
            <w:r/>
          </w:p>
        </w:tc>
      </w:tr>
      <w:tr>
        <w:trPr>
          <w:trHeight w:val="48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Неналоговые доходы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9647,7+3038,0= 12685,7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9 446,60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9 486,00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5 406,50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5 406,50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5 364,40</w:t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00011105013050000120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 за земельные уча</w:t>
            </w:r>
            <w: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4 014,40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4 014,40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4 014,40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00011105013130000120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</w:t>
            </w:r>
            <w: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1 144,30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1 144,30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1 144,30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00011105025050000120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177,50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177,50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135,40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00011105035050000120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сдачи в аренду имущества находящегося в оперативном управлении органов управления муниципальных районов и созданных ими учреждений ( за исключением имущества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70,30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70,30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при пользовании природными ресурсами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298,9+2900,0= 3198,9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298,90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298,90</w:t>
            </w:r>
            <w:r/>
          </w:p>
        </w:tc>
      </w:tr>
      <w:tr>
        <w:trPr>
          <w:trHeight w:val="10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00011201010016000120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281,9+2900,0= 3181,9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281,90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281,90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00011201041016000120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17,00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2 288,90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2 087,80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2 169,30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00011301995050012130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476,50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475,00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480,00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00011301995050014130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1 381,10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1 249,90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1 262,90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00011301995050015130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380,0+138,0=518,0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260,00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00011302065050000130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102,90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166,40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00011400000000000000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продажи материальных и нематериальных активов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</w:tr>
      <w:tr>
        <w:trPr>
          <w:trHeight w:val="16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00011402053050000410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реализации иного имущества, находящ</w:t>
            </w:r>
            <w:r>
              <w:t xml:space="preserve">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санкции, возмещение ущерба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1 453,40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1 453,40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1 453,40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00011601053010000140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</w:t>
            </w:r>
            <w: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00011601063010000140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6 Кодекса Российской Федерации об админ</w:t>
            </w:r>
            <w: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00011601073010000140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</w:t>
            </w:r>
            <w: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47,00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47,00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47,00</w:t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00011601083010000140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</w:t>
            </w:r>
            <w:r>
              <w:t xml:space="preserve">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00011601143010000140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14 Кодекса Российско</w:t>
            </w:r>
            <w: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11,00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11,00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11,00</w:t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00011601203010000140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</w:t>
            </w:r>
            <w: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723,90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723,90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723,90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00011607010050000140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76,00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76,00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00011607090050000140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88,00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88,00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88,00</w:t>
            </w:r>
            <w:r/>
          </w:p>
        </w:tc>
      </w:tr>
      <w:tr>
        <w:trPr>
          <w:trHeight w:val="25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00011610123010051140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</w:t>
            </w:r>
            <w:r>
              <w:t xml:space="preserve">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44,00</w:t>
            </w:r>
            <w:r/>
          </w:p>
        </w:tc>
      </w:tr>
      <w:tr>
        <w:trPr>
          <w:trHeight w:val="18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00011611050010000140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по искам о возмещении вреда, причиненного окружающей среде, а также платежи, уплачиваемые при добр</w:t>
            </w:r>
            <w:r>
              <w:t xml:space="preserve">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380,00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380,00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380,00</w:t>
            </w:r>
            <w:r/>
          </w:p>
        </w:tc>
      </w:tr>
      <w:tr>
        <w:trPr>
          <w:trHeight w:val="57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Всего доходов налоговых и неналоговых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330410,2+2900,0= 333 310,20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290 190,50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306 670,70</w:t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20000000000000000000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Безвозмездные поступления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1671790,4+1201,2 =1672991,60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1 207 806,10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1 190 575,80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Дотация  бюджетам муниципальных районов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90 589,90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48 994,7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51 062,80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00020215001050000150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Дотации бюджетам муниципальных районов  на выравнивание бюджетной обеспеченности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90 589,90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48 994,70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51 062,80</w:t>
            </w:r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747 469,40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302 760,10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241 207,10</w:t>
            </w:r>
            <w:r/>
          </w:p>
        </w:tc>
      </w:tr>
      <w:tr>
        <w:trPr>
          <w:trHeight w:val="9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31 913,20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83 977,30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82 727,40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40 072,30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32 655,00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43 378,00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</w:t>
            </w:r>
            <w:r>
              <w:t xml:space="preserve">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22 835,00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</w:t>
            </w:r>
            <w: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13 328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24 419,40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14 827,20</w:t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00020220216050000150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</w:t>
            </w:r>
            <w: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36 987,20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35 339,80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34 041,80</w:t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00020225098050000150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обновление материально-технической базы для организации учебно-исследовательской, научно-практиче</w:t>
            </w:r>
            <w:r>
              <w:t xml:space="preserve">ской, творческой деятельности, занятий физической культурой и спортом в 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1 888,60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8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00020225172050000150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обновление материально-технической базы общеобразовательных организаций, в том числе ос</w:t>
            </w:r>
            <w:r>
              <w:t xml:space="preserve">уществляющих образовательную деятельность по адаптированным основным общеобразовательным программам,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00020225304050000150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бесплатного горячего питани</w:t>
            </w:r>
            <w: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16 965,90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17 644,20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18 351,70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00020225467050000150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1 108,70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1 102,80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1 116,20</w:t>
            </w:r>
            <w:r/>
          </w:p>
        </w:tc>
      </w:tr>
      <w:tr>
        <w:trPr>
          <w:trHeight w:val="7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00020225519050000150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501,50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293,50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301,10</w:t>
            </w:r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00020225527050000150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407,40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407,40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407,40</w:t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00020225750050000150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56 108,80</w:t>
            </w:r>
            <w:r/>
          </w:p>
        </w:tc>
      </w:tr>
      <w:tr>
        <w:trPr>
          <w:trHeight w:val="17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ресурсному обеспечению модернизации образования Но</w:t>
            </w:r>
            <w: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112 450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3 600,00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3 600,00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2 748,40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2 748,40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2 748,40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</w:t>
            </w:r>
            <w: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осуществлению малобюджетного строительства, реконструкции, благоустройства, ремонта спорт</w:t>
            </w:r>
            <w:r>
              <w:t xml:space="preserve">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10 000,00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</w:t>
            </w:r>
            <w:r>
              <w:t xml:space="preserve">убсидия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11 500,00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10 000,00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5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мероприятий, направленных на подготов</w:t>
            </w:r>
            <w:r>
              <w:t xml:space="preserve">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осуществление полномочий по организации регулярных</w:t>
            </w:r>
            <w: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4 253,40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4 253,40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4 253,40</w:t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</w:t>
            </w:r>
            <w:r>
              <w:t xml:space="preserve">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30 823,10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30 316,40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30 316,40</w:t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8 688,50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8 688,50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8 688,50</w:t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содействию созданию новых мест в образова</w:t>
            </w:r>
            <w:r>
              <w:t xml:space="preserve">тельных организациях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4 500,00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подготовку градостроительной документации и (или)</w:t>
            </w:r>
            <w:r>
              <w:t xml:space="preserve">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1 916,50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13 648,70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6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ус</w:t>
            </w:r>
            <w:r>
              <w:t xml:space="preserve">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600,00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600,00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600,00</w:t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319,10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319,10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319,10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2 640,00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5 013,30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347 317,90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796271,7+494,9= 796766,60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823 505,90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866 191,60</w:t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280 934,10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304 407,10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327 515,00</w:t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социальную поддержку отдельных категорий детей, обучающихся в образовательных организациях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19 177,10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19 177,10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19 177,10</w:t>
            </w:r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образование и организацию деятельности комиссий по делам несовершеннолетних и защите их прав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1 623,70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1 650,90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1 761,50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52 150,10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61 629,50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63 787,30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49 906,40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54 841,10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59 330,90</w:t>
            </w:r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103,60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105,10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111,30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7,60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8,10</w:t>
            </w:r>
            <w:r/>
          </w:p>
        </w:tc>
      </w:tr>
      <w:tr>
        <w:trPr>
          <w:trHeight w:val="8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67 949,20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42 729,20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45 612,80</w:t>
            </w:r>
            <w:r/>
          </w:p>
        </w:tc>
      </w:tr>
      <w:tr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по организации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111 425,80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116 128,60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124 047,60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113 363,50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126 396,40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138 449,10</w:t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393,80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400,30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427,10</w:t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организацию мероприятий при осуществлении деятельности по обращению с животными без владельцев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550,0+494,9=  1044,9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550,00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550,00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00020235082050000150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95 316,30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91 797,00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81 239,20</w:t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00020235118050000150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3 358,00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3 673,00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4 023,20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00020235120050000150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12,60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13,00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151,40</w:t>
            </w:r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37459,3+706,3= 38165,60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32 545,40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32 114,30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00020240014050000150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</w:tr>
      <w:tr>
        <w:trPr>
          <w:trHeight w:val="1812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00020245303050000150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ежемесячное денежное вознагражде</w:t>
            </w:r>
            <w: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21385,3+706,3=   22091,6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21 385,30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21 479,10</w:t>
            </w:r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</w:t>
            </w:r>
            <w:r>
              <w:t xml:space="preserve">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204,90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ресурсному обеспечению модернизации образования Но</w:t>
            </w:r>
            <w: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3 200,00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3 200,00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3 200,00</w:t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создание социально-э</w:t>
            </w:r>
            <w:r>
              <w:t xml:space="preserve">кономических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49,60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1 114,30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1 114,30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1 114,30</w:t>
            </w:r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организацию и проведение мероприятий с целью расширения прав инвалидов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6 136,60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8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00020245179050000150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</w:t>
            </w:r>
            <w: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5 130,40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6 607,60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6 082,70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проезда детей и совершеннолетних граждан-сопро</w:t>
            </w:r>
            <w:r>
              <w:t xml:space="preserve">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</w:tr>
      <w:tr>
        <w:trPr>
          <w:trHeight w:val="795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Итого доходов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85" w:type="dxa"/>
            <w:textDirection w:val="lrTb"/>
            <w:noWrap w:val="false"/>
          </w:tcPr>
          <w:p>
            <w:r>
              <w:t xml:space="preserve">2002200,5+4239,2 = 2 006 439,70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r>
              <w:t xml:space="preserve">1 497 996,60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textDirection w:val="lrTb"/>
            <w:noWrap w:val="false"/>
          </w:tcPr>
          <w:p>
            <w:r>
              <w:t xml:space="preserve">1 497 246,50</w:t>
            </w:r>
            <w:r/>
          </w:p>
        </w:tc>
      </w:tr>
    </w:tbl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Изменения в распределение бюджетных ассигнований по разделам, подразделам и  целевым статьям.</w:t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Style w:val="772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>
              <w:t xml:space="preserve">КОСГУ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restart"/>
            <w:textDirection w:val="lrTb"/>
            <w:noWrap w:val="false"/>
          </w:tcPr>
          <w:p>
            <w:r>
              <w:t xml:space="preserve">Сумма на 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restart"/>
            <w:textDirection w:val="lrTb"/>
            <w:noWrap w:val="false"/>
          </w:tcPr>
          <w:p>
            <w:r>
              <w:t xml:space="preserve">уменьшение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restart"/>
            <w:textDirection w:val="lrTb"/>
            <w:noWrap w:val="false"/>
          </w:tcPr>
          <w:p>
            <w:r>
              <w:t xml:space="preserve">К утверждению</w:t>
            </w:r>
            <w:r/>
          </w:p>
        </w:tc>
      </w:tr>
      <w:tr>
        <w:trPr>
          <w:trHeight w:val="84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Наименование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РЗ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ПР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КЦСР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КВР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Подвид (код)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увеличение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148726,6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877,8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12035,0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137569,5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2 423,2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2 623,2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285,5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2 337,7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66768,5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66797,0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55102,1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55130,6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47584,1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47584,1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6 895,0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21,5 (на 0705)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6 873,5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673,0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 и организация деятельности комиссий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1 623,7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1 299,3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1 353,3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324,4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270,4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2 853,7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2 853,7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2 366,2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2 366,2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Субвенции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393,8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393,8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328,3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65,5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2 981,1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2 981,1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2 412,3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96,1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568,8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3 703,0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2 938,4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2697,4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2688,4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9,0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Резервные фонды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627,8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1 906,2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627,8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1 906,2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71557,7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12013,5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59544,3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24004,3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24004,3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21881,3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21881,3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2 101,0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2116,8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2056,8</w:t>
            </w:r>
            <w:r/>
          </w:p>
        </w:tc>
      </w:tr>
      <w:tr>
        <w:trPr>
          <w:trHeight w:val="9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Муниципальная программа "Развитие и поддержка территориального общественного самоуправления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630,5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29.0.00.70610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619,8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29.0.00.S0610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16340,5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2788,8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13551,7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Возмещение гражданам ущерба в результате отчуждения (изъятия) принадлежащего им имущества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28315,6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9224,7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19090,9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3 358,0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9 102,5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8 889,3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9 102,5</w:t>
            </w:r>
            <w:r/>
          </w:p>
        </w:tc>
      </w:tr>
      <w:tr>
        <w:trPr>
          <w:trHeight w:val="3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в ра</w:t>
            </w:r>
            <w:r>
              <w:t xml:space="preserve">мках реализации муниципальной программы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18.0.00.11010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8 789,3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8 789,3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6 261,0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2 528,3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2 528,3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157015,6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2469,9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159485,5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494,9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1 144,9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 в рамках муниципальной программы "Развитие сельского хозяйства и регулирование сельскохозяйственных рынков сырья и продовольствия в Колыванском 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19.0.00.12020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494,9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1 044,9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18.0.00.70870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83 977,3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Транспорт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5417,6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7392,6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5 276,3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20.0.00.S1100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по организации пассажирских перевозок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1975,0 (с 1102)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64295,6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64295,6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19652,5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15406,1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4 246,5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37 574,7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34702,0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34771,7</w:t>
            </w:r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2872,7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2802,9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20.0.00.S0760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по инициативным проектам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6432,2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2675,1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2675,1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02.0.00.70690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1 916,5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215312,0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215312,0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123460,6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123460,6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42,4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77720,0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296,4</w:t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77423,6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31 913,2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605,3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1679,7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78456,8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78456,8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2 788,3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2 048,3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объектов централизованных систем холодного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32 655,0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32 655,0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и реконструкции объектов централизованных систем холодного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04.0.00.S0640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5 026,7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2 065,0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25 796,4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8415,7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8415,7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17380,7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17380,7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8 688,5</w:t>
            </w:r>
            <w:r/>
          </w:p>
        </w:tc>
      </w:tr>
      <w:tr>
        <w:trPr>
          <w:trHeight w:val="12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3788,5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301,1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бесперебойной работы объектов тепло-, водоснабжения и водоотведения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13 394,6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13 394,6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3 846,7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3 846,7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9 481,3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по строительству и реконструкции котельных, тепловых сетей, включая вынос водопроводов из каналов тепловой сети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66,6</w:t>
            </w:r>
            <w:r/>
          </w:p>
        </w:tc>
      </w:tr>
      <w:tr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2 900,00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2 900,00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4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17.0.00.14070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2 900,00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1106743,8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4031,6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3595,7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1107179,7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202053,1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202053,1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функционирования, расширение и модернизация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05.0.00.04950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функционирования, расширению и модернизации компонентов обеспечения безопасности населения и муниципальной (коммунальной)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05.0.00.S4950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10,4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1 100,0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19,2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923,0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37349,2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37349,2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113 363,5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113 363,5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47812,3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779354,7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780039,1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111 350,0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111 350,0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2245,0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21,9 (на 1103)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2223,1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1 118,0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2360,0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Содействие созданию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содействию создания новых мест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1 925,8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05.0.E1.51722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2 000,0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05.0.E1.S1722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05.0.E2.50980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1 921,3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18 701,6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855,4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706,3 (ОБ)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1 561,7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питанием на льготных условиях детей военнослужащих, обучающихся в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99.0.00.04849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204,9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93902,2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94210,7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99.0.00.53030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20 529,9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20 529,9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280 934,1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280 934,1</w:t>
            </w:r>
            <w:r/>
          </w:p>
        </w:tc>
      </w:tr>
      <w:tr>
        <w:trPr>
          <w:trHeight w:val="27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111 425,8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111 425,8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102878,4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308,5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102569,9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 в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17 259,4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99.0.EВ.51790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5 130,4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86616,2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3143,8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3573,8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86186,2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125,0</w:t>
            </w:r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26235,5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26235,5</w:t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164,0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11 558,00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10 219,40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</w:p>
        </w:tc>
      </w:tr>
      <w:tr>
        <w:trPr>
          <w:trHeight w:val="13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1 312,10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48697,7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2979,8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3573,8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48103,7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7185,5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3573,8 (расп.рез.)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3611,7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41512,2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2979,8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44492,0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25,1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21,5 (с 0104)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21,5</w:t>
            </w:r>
            <w:r/>
          </w:p>
        </w:tc>
      </w:tr>
      <w:tr>
        <w:trPr>
          <w:trHeight w:val="8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08.0.00.15400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38566,2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38726,2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130,0</w:t>
            </w:r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2 378,4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2 378,4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Оздоровление детей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2 748,4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47,6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06.0.00.15420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10,0</w:t>
            </w:r>
            <w:r/>
          </w:p>
        </w:tc>
      </w:tr>
      <w:tr>
        <w:trPr>
          <w:trHeight w:val="16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27.0.00.15800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учреждений, обеспечивающих предоставление муниципальных услуг в сфере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25292,3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25452,3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20122,6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20122,6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5144,7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5304,7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9,5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103438,8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4900,7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8323,6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100015,9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103438,8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4900,7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8323,6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100015,9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Стипендии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Комплектование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10.0.00.70770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319,1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10.0.00.L4670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1 127,9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298,3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комплектованию библиотечных фондов муниципальных общедоступных библиотек Новосибирской области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10.0.00.S0770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5,6</w:t>
            </w:r>
            <w:r/>
          </w:p>
        </w:tc>
      </w:tr>
      <w:tr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212,0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11.0.00.15430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12 416,1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67,0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12 483,1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13 285,2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13 285,2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11 718,7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844,5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722,0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31234,2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31234,2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27 871,8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27 871,8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2877,3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2877,3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485,1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44070,5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4833,7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8323,6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40580,6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16080,9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3323,6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8323,6 (расп.рез.)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11080,9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27539,6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1510,1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29049,7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123388,9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123388,9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99.0.00.17100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2 121,4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53 189,3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53 189,3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47 052,7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47 052,7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3 807,9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99.0.P3.5163F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2 328,7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2 328,7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03.0.00.L4979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66765,2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99.1.00.70289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16 158,9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99.2.00.70289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24 081,0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99.3.00.70289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8 929,1</w:t>
            </w:r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17 596,2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73,6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проведение мероприятий с целью расширения прав инвалидов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24,0</w:t>
            </w:r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49,6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56697,9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953,9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55676,8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Массовый спорт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38843,4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1975,0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37206,4</w:t>
            </w:r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09.0.00.18100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750,0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29518,0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138,0 (ПД)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29656,0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20910,8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4965,2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5103,2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3642,0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физической культуры и спорта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1975,0 (на 0408)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2 025,0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4775,4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17854,5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615,9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18470,4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2232,4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4582,3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21,9 (с 0702)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4604,3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10769,8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594,0(резерв)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11363,8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2 100,0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2 100,0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113750,2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13421,4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127171,6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45801,0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13421,4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59222,4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293,2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293,2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398,3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398,3</w:t>
            </w:r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828,4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828,4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700,0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43959,4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13023,1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56982,5</w:t>
            </w:r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Итого расходов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2040647,2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30168,4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25929,3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2044886,3</w:t>
            </w:r>
            <w:r/>
          </w:p>
        </w:tc>
      </w:tr>
    </w:tbl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6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6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6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6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6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6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6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6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6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6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6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6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6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6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6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16"/>
    <w:next w:val="916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16"/>
    <w:next w:val="916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16"/>
    <w:next w:val="916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16"/>
    <w:next w:val="916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16"/>
    <w:next w:val="916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16"/>
    <w:next w:val="916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16"/>
    <w:next w:val="916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16"/>
    <w:next w:val="916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16"/>
    <w:next w:val="916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List Paragraph"/>
    <w:basedOn w:val="916"/>
    <w:uiPriority w:val="34"/>
    <w:qFormat/>
    <w:pPr>
      <w:contextualSpacing/>
      <w:ind w:left="720"/>
    </w:pPr>
  </w:style>
  <w:style w:type="paragraph" w:styleId="757">
    <w:name w:val="No Spacing"/>
    <w:uiPriority w:val="1"/>
    <w:qFormat/>
    <w:pPr>
      <w:spacing w:before="0" w:after="0" w:line="240" w:lineRule="auto"/>
    </w:pPr>
  </w:style>
  <w:style w:type="paragraph" w:styleId="758">
    <w:name w:val="Title"/>
    <w:basedOn w:val="916"/>
    <w:next w:val="916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link w:val="758"/>
    <w:uiPriority w:val="10"/>
    <w:rPr>
      <w:sz w:val="48"/>
      <w:szCs w:val="48"/>
    </w:rPr>
  </w:style>
  <w:style w:type="paragraph" w:styleId="760">
    <w:name w:val="Subtitle"/>
    <w:basedOn w:val="916"/>
    <w:next w:val="916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link w:val="760"/>
    <w:uiPriority w:val="11"/>
    <w:rPr>
      <w:sz w:val="24"/>
      <w:szCs w:val="24"/>
    </w:rPr>
  </w:style>
  <w:style w:type="paragraph" w:styleId="762">
    <w:name w:val="Quote"/>
    <w:basedOn w:val="916"/>
    <w:next w:val="916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6"/>
    <w:next w:val="916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paragraph" w:styleId="766">
    <w:name w:val="Header"/>
    <w:basedOn w:val="916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>
    <w:name w:val="Header Char"/>
    <w:link w:val="766"/>
    <w:uiPriority w:val="99"/>
  </w:style>
  <w:style w:type="paragraph" w:styleId="768">
    <w:name w:val="Footer"/>
    <w:basedOn w:val="916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Footer Char"/>
    <w:link w:val="768"/>
    <w:uiPriority w:val="99"/>
  </w:style>
  <w:style w:type="paragraph" w:styleId="770">
    <w:name w:val="Caption"/>
    <w:basedOn w:val="916"/>
    <w:next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768"/>
    <w:uiPriority w:val="99"/>
  </w:style>
  <w:style w:type="table" w:styleId="77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basedOn w:val="916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>
    <w:name w:val="Footnote Text Char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basedOn w:val="916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916"/>
    <w:next w:val="916"/>
    <w:uiPriority w:val="39"/>
    <w:unhideWhenUsed/>
    <w:pPr>
      <w:ind w:left="0" w:right="0" w:firstLine="0"/>
      <w:spacing w:after="57"/>
    </w:pPr>
  </w:style>
  <w:style w:type="paragraph" w:styleId="906">
    <w:name w:val="toc 2"/>
    <w:basedOn w:val="916"/>
    <w:next w:val="916"/>
    <w:uiPriority w:val="39"/>
    <w:unhideWhenUsed/>
    <w:pPr>
      <w:ind w:left="283" w:right="0" w:firstLine="0"/>
      <w:spacing w:after="57"/>
    </w:pPr>
  </w:style>
  <w:style w:type="paragraph" w:styleId="907">
    <w:name w:val="toc 3"/>
    <w:basedOn w:val="916"/>
    <w:next w:val="916"/>
    <w:uiPriority w:val="39"/>
    <w:unhideWhenUsed/>
    <w:pPr>
      <w:ind w:left="567" w:right="0" w:firstLine="0"/>
      <w:spacing w:after="57"/>
    </w:pPr>
  </w:style>
  <w:style w:type="paragraph" w:styleId="908">
    <w:name w:val="toc 4"/>
    <w:basedOn w:val="916"/>
    <w:next w:val="916"/>
    <w:uiPriority w:val="39"/>
    <w:unhideWhenUsed/>
    <w:pPr>
      <w:ind w:left="850" w:right="0" w:firstLine="0"/>
      <w:spacing w:after="57"/>
    </w:pPr>
  </w:style>
  <w:style w:type="paragraph" w:styleId="909">
    <w:name w:val="toc 5"/>
    <w:basedOn w:val="916"/>
    <w:next w:val="916"/>
    <w:uiPriority w:val="39"/>
    <w:unhideWhenUsed/>
    <w:pPr>
      <w:ind w:left="1134" w:right="0" w:firstLine="0"/>
      <w:spacing w:after="57"/>
    </w:pPr>
  </w:style>
  <w:style w:type="paragraph" w:styleId="910">
    <w:name w:val="toc 6"/>
    <w:basedOn w:val="916"/>
    <w:next w:val="916"/>
    <w:uiPriority w:val="39"/>
    <w:unhideWhenUsed/>
    <w:pPr>
      <w:ind w:left="1417" w:right="0" w:firstLine="0"/>
      <w:spacing w:after="57"/>
    </w:pPr>
  </w:style>
  <w:style w:type="paragraph" w:styleId="911">
    <w:name w:val="toc 7"/>
    <w:basedOn w:val="916"/>
    <w:next w:val="916"/>
    <w:uiPriority w:val="39"/>
    <w:unhideWhenUsed/>
    <w:pPr>
      <w:ind w:left="1701" w:right="0" w:firstLine="0"/>
      <w:spacing w:after="57"/>
    </w:pPr>
  </w:style>
  <w:style w:type="paragraph" w:styleId="912">
    <w:name w:val="toc 8"/>
    <w:basedOn w:val="916"/>
    <w:next w:val="916"/>
    <w:uiPriority w:val="39"/>
    <w:unhideWhenUsed/>
    <w:pPr>
      <w:ind w:left="1984" w:right="0" w:firstLine="0"/>
      <w:spacing w:after="57"/>
    </w:pPr>
  </w:style>
  <w:style w:type="paragraph" w:styleId="913">
    <w:name w:val="toc 9"/>
    <w:basedOn w:val="916"/>
    <w:next w:val="916"/>
    <w:uiPriority w:val="39"/>
    <w:unhideWhenUsed/>
    <w:pPr>
      <w:ind w:left="2268" w:right="0" w:firstLine="0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916"/>
    <w:next w:val="916"/>
    <w:uiPriority w:val="99"/>
    <w:unhideWhenUsed/>
    <w:pPr>
      <w:spacing w:after="0" w:afterAutospacing="0"/>
    </w:pPr>
  </w:style>
  <w:style w:type="paragraph" w:styleId="916" w:default="1">
    <w:name w:val="Normal"/>
    <w:next w:val="916"/>
    <w:link w:val="916"/>
    <w:qFormat/>
    <w:rPr>
      <w:sz w:val="28"/>
      <w:lang w:val="ru-RU" w:eastAsia="ru-RU" w:bidi="ar-SA"/>
    </w:rPr>
  </w:style>
  <w:style w:type="character" w:styleId="917">
    <w:name w:val="Основной шрифт абзаца"/>
    <w:next w:val="917"/>
    <w:link w:val="916"/>
    <w:semiHidden/>
  </w:style>
  <w:style w:type="table" w:styleId="918">
    <w:name w:val="Обычная таблица"/>
    <w:next w:val="918"/>
    <w:link w:val="916"/>
    <w:semiHidden/>
    <w:tblPr/>
  </w:style>
  <w:style w:type="numbering" w:styleId="919">
    <w:name w:val="Нет списка"/>
    <w:next w:val="919"/>
    <w:link w:val="916"/>
    <w:uiPriority w:val="99"/>
    <w:semiHidden/>
  </w:style>
  <w:style w:type="paragraph" w:styleId="920">
    <w:name w:val="Знак"/>
    <w:basedOn w:val="916"/>
    <w:next w:val="920"/>
    <w:link w:val="916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1">
    <w:name w:val="Основной текст, Знак, Знак1 Знак,Основной текст1,bt,Основной текст Знак,Знак1 Знак"/>
    <w:basedOn w:val="916"/>
    <w:next w:val="921"/>
    <w:link w:val="922"/>
    <w:pPr>
      <w:jc w:val="both"/>
    </w:pPr>
  </w:style>
  <w:style w:type="character" w:styleId="922">
    <w:name w:val="Основной текст Знак1, Знак Знак, Знак1 Знак Знак,Основной текст1 Знак,bt Знак,Основной текст Знак Знак,Знак1 Знак Знак,Знак Знак"/>
    <w:next w:val="922"/>
    <w:link w:val="921"/>
    <w:rPr>
      <w:sz w:val="28"/>
      <w:lang w:val="ru-RU" w:eastAsia="ru-RU" w:bidi="ar-SA"/>
    </w:rPr>
  </w:style>
  <w:style w:type="table" w:styleId="923">
    <w:name w:val="Сетка таблицы"/>
    <w:basedOn w:val="918"/>
    <w:next w:val="923"/>
    <w:link w:val="916"/>
    <w:uiPriority w:val="39"/>
    <w:tblPr/>
  </w:style>
  <w:style w:type="paragraph" w:styleId="924">
    <w:name w:val="Верхний колонтитул"/>
    <w:basedOn w:val="916"/>
    <w:next w:val="924"/>
    <w:link w:val="940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5">
    <w:name w:val="Основной текст с отступом 2"/>
    <w:basedOn w:val="916"/>
    <w:next w:val="925"/>
    <w:link w:val="916"/>
    <w:pPr>
      <w:ind w:left="283"/>
      <w:spacing w:after="120" w:line="480" w:lineRule="auto"/>
    </w:pPr>
    <w:rPr>
      <w:sz w:val="24"/>
      <w:szCs w:val="24"/>
    </w:rPr>
  </w:style>
  <w:style w:type="paragraph" w:styleId="926">
    <w:name w:val="Заголовок,Название"/>
    <w:basedOn w:val="916"/>
    <w:next w:val="926"/>
    <w:link w:val="938"/>
    <w:uiPriority w:val="10"/>
    <w:qFormat/>
    <w:pPr>
      <w:jc w:val="center"/>
    </w:pPr>
    <w:rPr>
      <w:b/>
      <w:sz w:val="24"/>
    </w:rPr>
  </w:style>
  <w:style w:type="paragraph" w:styleId="927">
    <w:name w:val="ConsNormal"/>
    <w:next w:val="927"/>
    <w:link w:val="916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8">
    <w:name w:val="Нижний колонтитул"/>
    <w:basedOn w:val="916"/>
    <w:next w:val="928"/>
    <w:link w:val="939"/>
    <w:uiPriority w:val="99"/>
    <w:pPr>
      <w:tabs>
        <w:tab w:val="center" w:pos="4677" w:leader="none"/>
        <w:tab w:val="right" w:pos="9355" w:leader="none"/>
      </w:tabs>
    </w:pPr>
  </w:style>
  <w:style w:type="character" w:styleId="929">
    <w:name w:val="Номер страницы"/>
    <w:basedOn w:val="917"/>
    <w:next w:val="929"/>
    <w:link w:val="916"/>
  </w:style>
  <w:style w:type="paragraph" w:styleId="930">
    <w:name w:val="ConsNonformat"/>
    <w:next w:val="930"/>
    <w:link w:val="916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Title"/>
    <w:next w:val="931"/>
    <w:link w:val="916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2">
    <w:name w:val="Normal1"/>
    <w:next w:val="932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3">
    <w:name w:val="ConsPlusNormal"/>
    <w:next w:val="933"/>
    <w:link w:val="98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4">
    <w:name w:val="ConsPlusNonformat"/>
    <w:next w:val="934"/>
    <w:link w:val="916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5">
    <w:name w:val="ConsPlusTitle"/>
    <w:next w:val="935"/>
    <w:link w:val="916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6">
    <w:name w:val="Оглавление 2"/>
    <w:basedOn w:val="916"/>
    <w:next w:val="916"/>
    <w:link w:val="916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7">
    <w:name w:val=" Знак Знак1 Знак Знак"/>
    <w:basedOn w:val="916"/>
    <w:next w:val="937"/>
    <w:link w:val="91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8">
    <w:name w:val="Название Знак"/>
    <w:next w:val="938"/>
    <w:link w:val="926"/>
    <w:rPr>
      <w:b/>
      <w:sz w:val="24"/>
    </w:rPr>
  </w:style>
  <w:style w:type="character" w:styleId="939">
    <w:name w:val="Нижний колонтитул Знак"/>
    <w:next w:val="939"/>
    <w:link w:val="928"/>
    <w:uiPriority w:val="99"/>
    <w:rPr>
      <w:sz w:val="28"/>
    </w:rPr>
  </w:style>
  <w:style w:type="character" w:styleId="940">
    <w:name w:val="Верхний колонтитул Знак"/>
    <w:next w:val="940"/>
    <w:link w:val="924"/>
    <w:uiPriority w:val="99"/>
    <w:rPr>
      <w:sz w:val="28"/>
      <w:szCs w:val="28"/>
    </w:rPr>
  </w:style>
  <w:style w:type="paragraph" w:styleId="941">
    <w:name w:val="Текст выноски"/>
    <w:basedOn w:val="916"/>
    <w:next w:val="941"/>
    <w:link w:val="942"/>
    <w:rPr>
      <w:rFonts w:ascii="Tahoma" w:hAnsi="Tahoma" w:cs="Tahoma"/>
      <w:sz w:val="16"/>
      <w:szCs w:val="16"/>
    </w:rPr>
  </w:style>
  <w:style w:type="character" w:styleId="942">
    <w:name w:val="Текст выноски Знак"/>
    <w:next w:val="942"/>
    <w:link w:val="941"/>
    <w:rPr>
      <w:rFonts w:ascii="Tahoma" w:hAnsi="Tahoma" w:cs="Tahoma"/>
      <w:sz w:val="16"/>
      <w:szCs w:val="16"/>
    </w:rPr>
  </w:style>
  <w:style w:type="paragraph" w:styleId="943">
    <w:name w:val="Знак Знак1 Знак Знак"/>
    <w:basedOn w:val="916"/>
    <w:next w:val="94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4">
    <w:name w:val=" Знак Знак1 Знак Знак Знак Знак"/>
    <w:basedOn w:val="916"/>
    <w:next w:val="944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5">
    <w:name w:val=" Знак Знак1"/>
    <w:basedOn w:val="916"/>
    <w:next w:val="94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1 Знак Знак Знак Знак Знак Знак Знак Знак"/>
    <w:basedOn w:val="916"/>
    <w:next w:val="946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"/>
    <w:basedOn w:val="916"/>
    <w:next w:val="947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8">
    <w:name w:val="Выделение"/>
    <w:next w:val="948"/>
    <w:link w:val="916"/>
    <w:qFormat/>
    <w:rPr>
      <w:rFonts w:cs="Times New Roman"/>
      <w:i/>
      <w:iCs/>
    </w:rPr>
  </w:style>
  <w:style w:type="paragraph" w:styleId="949">
    <w:name w:val=" Знак Знак4 Знак Знак Знак Знак1 Знак Знак Знак Знак"/>
    <w:basedOn w:val="916"/>
    <w:next w:val="94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4 Знак Знак Знак Знак"/>
    <w:basedOn w:val="916"/>
    <w:next w:val="95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4 Знак Знак"/>
    <w:basedOn w:val="916"/>
    <w:next w:val="95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4 Знак Знак Знак Знак1"/>
    <w:basedOn w:val="916"/>
    <w:next w:val="95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5"/>
    <w:basedOn w:val="916"/>
    <w:next w:val="95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Знак Знак Знак2 Знак"/>
    <w:basedOn w:val="916"/>
    <w:next w:val="954"/>
    <w:link w:val="916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5">
    <w:name w:val="1"/>
    <w:basedOn w:val="916"/>
    <w:next w:val="95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6">
    <w:name w:val="Знак примечания"/>
    <w:next w:val="956"/>
    <w:link w:val="916"/>
    <w:uiPriority w:val="99"/>
    <w:unhideWhenUsed/>
    <w:rPr>
      <w:sz w:val="16"/>
      <w:szCs w:val="16"/>
    </w:rPr>
  </w:style>
  <w:style w:type="character" w:styleId="957">
    <w:name w:val="Основной текст (2)_"/>
    <w:next w:val="957"/>
    <w:link w:val="958"/>
    <w:rPr>
      <w:sz w:val="26"/>
      <w:szCs w:val="26"/>
      <w:shd w:val="clear" w:color="auto" w:fill="ffffff"/>
    </w:rPr>
  </w:style>
  <w:style w:type="paragraph" w:styleId="958">
    <w:name w:val="Основной текст (2)"/>
    <w:basedOn w:val="916"/>
    <w:next w:val="958"/>
    <w:link w:val="957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9">
    <w:name w:val="Абзац списка"/>
    <w:basedOn w:val="916"/>
    <w:next w:val="959"/>
    <w:link w:val="916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0">
    <w:name w:val="Текст примечания"/>
    <w:basedOn w:val="916"/>
    <w:next w:val="960"/>
    <w:link w:val="961"/>
    <w:rPr>
      <w:sz w:val="20"/>
    </w:rPr>
  </w:style>
  <w:style w:type="character" w:styleId="961">
    <w:name w:val="Текст примечания Знак"/>
    <w:basedOn w:val="917"/>
    <w:next w:val="961"/>
    <w:link w:val="960"/>
  </w:style>
  <w:style w:type="paragraph" w:styleId="962">
    <w:name w:val="Тема примечания"/>
    <w:basedOn w:val="960"/>
    <w:next w:val="960"/>
    <w:link w:val="963"/>
    <w:rPr>
      <w:b/>
      <w:bCs/>
    </w:rPr>
  </w:style>
  <w:style w:type="character" w:styleId="963">
    <w:name w:val="Тема примечания Знак"/>
    <w:next w:val="963"/>
    <w:link w:val="962"/>
    <w:rPr>
      <w:b/>
      <w:bCs/>
    </w:rPr>
  </w:style>
  <w:style w:type="numbering" w:styleId="964">
    <w:name w:val="Нет списка1"/>
    <w:next w:val="919"/>
    <w:link w:val="916"/>
    <w:uiPriority w:val="99"/>
    <w:semiHidden/>
    <w:unhideWhenUsed/>
  </w:style>
  <w:style w:type="numbering" w:styleId="965">
    <w:name w:val="Нет списка11"/>
    <w:next w:val="919"/>
    <w:link w:val="916"/>
    <w:semiHidden/>
  </w:style>
  <w:style w:type="paragraph" w:styleId="966">
    <w:name w:val="Обычный1"/>
    <w:next w:val="966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7">
    <w:name w:val="Сетка таблицы1"/>
    <w:basedOn w:val="918"/>
    <w:next w:val="923"/>
    <w:link w:val="916"/>
    <w:tblPr/>
  </w:style>
  <w:style w:type="paragraph" w:styleId="968">
    <w:name w:val="Знак Знак1"/>
    <w:basedOn w:val="916"/>
    <w:next w:val="968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9">
    <w:name w:val="Знак Знак1 Знак Знак Знак Знак"/>
    <w:basedOn w:val="916"/>
    <w:next w:val="96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0">
    <w:name w:val="Знак Знак1 Знак Знак Знак Знак Знак Знак Знак Знак"/>
    <w:basedOn w:val="916"/>
    <w:next w:val="97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1">
    <w:name w:val="Знак Знак4"/>
    <w:basedOn w:val="916"/>
    <w:next w:val="97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2">
    <w:name w:val="Знак Знак5"/>
    <w:basedOn w:val="916"/>
    <w:next w:val="97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3">
    <w:name w:val="Нет списка111"/>
    <w:next w:val="919"/>
    <w:link w:val="916"/>
    <w:uiPriority w:val="99"/>
    <w:semiHidden/>
    <w:unhideWhenUsed/>
  </w:style>
  <w:style w:type="character" w:styleId="974">
    <w:name w:val="Заголовок Знак"/>
    <w:next w:val="974"/>
    <w:link w:val="916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5">
    <w:name w:val="Нет списка2"/>
    <w:next w:val="919"/>
    <w:link w:val="916"/>
    <w:semiHidden/>
  </w:style>
  <w:style w:type="numbering" w:styleId="976">
    <w:name w:val="Нет списка12"/>
    <w:next w:val="919"/>
    <w:link w:val="916"/>
    <w:uiPriority w:val="99"/>
    <w:semiHidden/>
    <w:unhideWhenUsed/>
  </w:style>
  <w:style w:type="numbering" w:styleId="977">
    <w:name w:val="Нет списка3"/>
    <w:next w:val="919"/>
    <w:link w:val="916"/>
    <w:semiHidden/>
  </w:style>
  <w:style w:type="paragraph" w:styleId="978">
    <w:name w:val="Обычный2"/>
    <w:next w:val="978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9">
    <w:name w:val="Сетка таблицы2"/>
    <w:basedOn w:val="918"/>
    <w:next w:val="923"/>
    <w:link w:val="916"/>
    <w:tblPr/>
  </w:style>
  <w:style w:type="character" w:styleId="980">
    <w:name w:val="ConsPlusNormal Знак"/>
    <w:next w:val="980"/>
    <w:link w:val="933"/>
    <w:rPr>
      <w:rFonts w:ascii="Arial" w:hAnsi="Arial" w:cs="Arial"/>
    </w:rPr>
  </w:style>
  <w:style w:type="character" w:styleId="981">
    <w:name w:val="Гиперссылка"/>
    <w:next w:val="981"/>
    <w:link w:val="916"/>
    <w:uiPriority w:val="99"/>
    <w:unhideWhenUsed/>
    <w:rPr>
      <w:color w:val="0563c1"/>
      <w:u w:val="single"/>
    </w:rPr>
  </w:style>
  <w:style w:type="character" w:styleId="982">
    <w:name w:val="Просмотренная гиперссылка"/>
    <w:next w:val="982"/>
    <w:link w:val="916"/>
    <w:uiPriority w:val="99"/>
    <w:unhideWhenUsed/>
    <w:rPr>
      <w:color w:val="954f72"/>
      <w:u w:val="single"/>
    </w:rPr>
  </w:style>
  <w:style w:type="paragraph" w:styleId="983">
    <w:name w:val="msonormal"/>
    <w:basedOn w:val="916"/>
    <w:next w:val="983"/>
    <w:link w:val="916"/>
    <w:pPr>
      <w:spacing w:before="100" w:beforeAutospacing="1" w:after="100" w:afterAutospacing="1"/>
    </w:pPr>
    <w:rPr>
      <w:sz w:val="24"/>
      <w:szCs w:val="24"/>
    </w:rPr>
  </w:style>
  <w:style w:type="paragraph" w:styleId="984">
    <w:name w:val="font5"/>
    <w:basedOn w:val="916"/>
    <w:next w:val="984"/>
    <w:link w:val="916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5">
    <w:name w:val="xl66"/>
    <w:basedOn w:val="916"/>
    <w:next w:val="98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6">
    <w:name w:val="xl67"/>
    <w:basedOn w:val="916"/>
    <w:next w:val="986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7">
    <w:name w:val="xl68"/>
    <w:basedOn w:val="916"/>
    <w:next w:val="98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8">
    <w:name w:val="xl69"/>
    <w:basedOn w:val="916"/>
    <w:next w:val="988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0"/>
    <w:basedOn w:val="916"/>
    <w:next w:val="989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0">
    <w:name w:val="xl71"/>
    <w:basedOn w:val="916"/>
    <w:next w:val="99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1">
    <w:name w:val="xl72"/>
    <w:basedOn w:val="916"/>
    <w:next w:val="991"/>
    <w:link w:val="916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2">
    <w:name w:val="xl73"/>
    <w:basedOn w:val="916"/>
    <w:next w:val="992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3">
    <w:name w:val="xl74"/>
    <w:basedOn w:val="916"/>
    <w:next w:val="993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4">
    <w:name w:val="xl75"/>
    <w:basedOn w:val="916"/>
    <w:next w:val="99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6"/>
    <w:basedOn w:val="916"/>
    <w:next w:val="995"/>
    <w:link w:val="91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6">
    <w:name w:val="xl77"/>
    <w:basedOn w:val="916"/>
    <w:next w:val="99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7">
    <w:name w:val="xl78"/>
    <w:basedOn w:val="916"/>
    <w:next w:val="997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8">
    <w:name w:val="xl79"/>
    <w:basedOn w:val="916"/>
    <w:next w:val="99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0"/>
    <w:basedOn w:val="916"/>
    <w:next w:val="99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0">
    <w:name w:val="xl81"/>
    <w:basedOn w:val="916"/>
    <w:next w:val="100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2"/>
    <w:basedOn w:val="916"/>
    <w:next w:val="100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3"/>
    <w:basedOn w:val="916"/>
    <w:next w:val="100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4"/>
    <w:basedOn w:val="916"/>
    <w:next w:val="100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>
    <w:name w:val="xl85"/>
    <w:basedOn w:val="916"/>
    <w:next w:val="100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86"/>
    <w:basedOn w:val="916"/>
    <w:next w:val="100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7"/>
    <w:basedOn w:val="916"/>
    <w:next w:val="100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>
    <w:name w:val="xl88"/>
    <w:basedOn w:val="916"/>
    <w:next w:val="100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9"/>
    <w:basedOn w:val="916"/>
    <w:next w:val="1008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9">
    <w:name w:val="xl90"/>
    <w:basedOn w:val="916"/>
    <w:next w:val="100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1"/>
    <w:basedOn w:val="916"/>
    <w:next w:val="101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1">
    <w:name w:val="xl92"/>
    <w:basedOn w:val="916"/>
    <w:next w:val="101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2">
    <w:name w:val="xl93"/>
    <w:basedOn w:val="916"/>
    <w:next w:val="101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4"/>
    <w:basedOn w:val="916"/>
    <w:next w:val="101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5"/>
    <w:basedOn w:val="916"/>
    <w:next w:val="101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5">
    <w:name w:val="xl96"/>
    <w:basedOn w:val="916"/>
    <w:next w:val="1015"/>
    <w:link w:val="916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6">
    <w:name w:val="xl97"/>
    <w:basedOn w:val="916"/>
    <w:next w:val="1016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8"/>
    <w:basedOn w:val="916"/>
    <w:next w:val="101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99"/>
    <w:basedOn w:val="916"/>
    <w:next w:val="1018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100"/>
    <w:basedOn w:val="916"/>
    <w:next w:val="101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0">
    <w:name w:val="xl101"/>
    <w:basedOn w:val="916"/>
    <w:next w:val="1020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2"/>
    <w:basedOn w:val="916"/>
    <w:next w:val="102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3"/>
    <w:basedOn w:val="916"/>
    <w:next w:val="102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3">
    <w:name w:val="xl104"/>
    <w:basedOn w:val="916"/>
    <w:next w:val="102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4">
    <w:name w:val="xl105"/>
    <w:basedOn w:val="916"/>
    <w:next w:val="1024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6"/>
    <w:basedOn w:val="916"/>
    <w:next w:val="1025"/>
    <w:link w:val="91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07"/>
    <w:basedOn w:val="916"/>
    <w:next w:val="1026"/>
    <w:link w:val="916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08"/>
    <w:basedOn w:val="916"/>
    <w:next w:val="1027"/>
    <w:link w:val="916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8">
    <w:name w:val="xl109"/>
    <w:basedOn w:val="916"/>
    <w:next w:val="1028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110"/>
    <w:basedOn w:val="916"/>
    <w:next w:val="102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111"/>
    <w:basedOn w:val="916"/>
    <w:next w:val="103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1">
    <w:name w:val="xl112"/>
    <w:basedOn w:val="916"/>
    <w:next w:val="1031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2">
    <w:name w:val="xl113"/>
    <w:basedOn w:val="916"/>
    <w:next w:val="103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3">
    <w:name w:val="xl114"/>
    <w:basedOn w:val="916"/>
    <w:next w:val="1033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4">
    <w:name w:val="xl115"/>
    <w:basedOn w:val="916"/>
    <w:next w:val="1034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5">
    <w:name w:val="xl116"/>
    <w:basedOn w:val="916"/>
    <w:next w:val="103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6">
    <w:name w:val="xl117"/>
    <w:basedOn w:val="916"/>
    <w:next w:val="1036"/>
    <w:link w:val="91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7">
    <w:name w:val="xl118"/>
    <w:basedOn w:val="916"/>
    <w:next w:val="103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8">
    <w:name w:val="xl119"/>
    <w:basedOn w:val="916"/>
    <w:next w:val="1038"/>
    <w:link w:val="916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9">
    <w:name w:val="xl120"/>
    <w:basedOn w:val="916"/>
    <w:next w:val="1039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0">
    <w:name w:val="xl121"/>
    <w:basedOn w:val="916"/>
    <w:next w:val="104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1">
    <w:name w:val="xl122"/>
    <w:basedOn w:val="916"/>
    <w:next w:val="1041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2">
    <w:name w:val="xl123"/>
    <w:basedOn w:val="916"/>
    <w:next w:val="1042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3">
    <w:name w:val="xl124"/>
    <w:basedOn w:val="916"/>
    <w:next w:val="1043"/>
    <w:link w:val="916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5"/>
    <w:basedOn w:val="916"/>
    <w:next w:val="104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5">
    <w:name w:val="xl126"/>
    <w:basedOn w:val="916"/>
    <w:next w:val="1045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27"/>
    <w:basedOn w:val="916"/>
    <w:next w:val="104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28"/>
    <w:basedOn w:val="916"/>
    <w:next w:val="104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29"/>
    <w:basedOn w:val="916"/>
    <w:next w:val="104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9">
    <w:name w:val="xl130"/>
    <w:basedOn w:val="916"/>
    <w:next w:val="104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0">
    <w:name w:val="xl131"/>
    <w:basedOn w:val="916"/>
    <w:next w:val="105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1">
    <w:name w:val="xl132"/>
    <w:basedOn w:val="916"/>
    <w:next w:val="1051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133"/>
    <w:basedOn w:val="916"/>
    <w:next w:val="1052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4"/>
    <w:basedOn w:val="916"/>
    <w:next w:val="105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5"/>
    <w:basedOn w:val="916"/>
    <w:next w:val="105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5">
    <w:name w:val="xl136"/>
    <w:basedOn w:val="916"/>
    <w:next w:val="105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37"/>
    <w:basedOn w:val="916"/>
    <w:next w:val="105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8"/>
    <w:basedOn w:val="916"/>
    <w:next w:val="105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39"/>
    <w:basedOn w:val="916"/>
    <w:next w:val="105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9">
    <w:name w:val="xl140"/>
    <w:basedOn w:val="916"/>
    <w:next w:val="1059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0">
    <w:name w:val="xl141"/>
    <w:basedOn w:val="916"/>
    <w:next w:val="106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1">
    <w:name w:val="xl142"/>
    <w:basedOn w:val="916"/>
    <w:next w:val="1061"/>
    <w:link w:val="916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2">
    <w:name w:val="xl143"/>
    <w:basedOn w:val="916"/>
    <w:next w:val="106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3">
    <w:name w:val="xl144"/>
    <w:basedOn w:val="916"/>
    <w:next w:val="106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4">
    <w:name w:val="xl145"/>
    <w:basedOn w:val="916"/>
    <w:next w:val="106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5">
    <w:name w:val="xl146"/>
    <w:basedOn w:val="916"/>
    <w:next w:val="106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6">
    <w:name w:val="xl147"/>
    <w:basedOn w:val="916"/>
    <w:next w:val="1066"/>
    <w:link w:val="916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7">
    <w:name w:val="xl148"/>
    <w:basedOn w:val="916"/>
    <w:next w:val="1067"/>
    <w:link w:val="916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8">
    <w:name w:val="xl65"/>
    <w:basedOn w:val="916"/>
    <w:next w:val="1068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9" w:default="1">
    <w:name w:val="Default Paragraph Font"/>
    <w:uiPriority w:val="1"/>
    <w:semiHidden/>
    <w:unhideWhenUsed/>
  </w:style>
  <w:style w:type="numbering" w:styleId="1070" w:default="1">
    <w:name w:val="No List"/>
    <w:uiPriority w:val="99"/>
    <w:semiHidden/>
    <w:unhideWhenUsed/>
  </w:style>
  <w:style w:type="table" w:styleId="10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20</cp:revision>
  <dcterms:created xsi:type="dcterms:W3CDTF">2022-02-08T09:52:00Z</dcterms:created>
  <dcterms:modified xsi:type="dcterms:W3CDTF">2024-06-07T02:30:16Z</dcterms:modified>
  <cp:version>1048576</cp:version>
</cp:coreProperties>
</file>